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A57C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43AE0">
        <w:rPr>
          <w:rFonts w:ascii="微软雅黑" w:eastAsia="微软雅黑" w:hAnsi="微软雅黑"/>
          <w:b/>
          <w:sz w:val="24"/>
          <w:szCs w:val="24"/>
        </w:rPr>
        <w:t>15.6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  <w:bookmarkEnd w:id="0"/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5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6612C0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G156HAN01.0</w:t>
            </w:r>
          </w:p>
        </w:tc>
      </w:tr>
      <w:tr w:rsidR="00D20666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F0EE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-10 ~ 60 °C</w:t>
            </w:r>
          </w:p>
        </w:tc>
      </w:tr>
      <w:tr w:rsidR="00D20666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5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43AE0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1920(RGB)×1080 , FHD</w:t>
            </w:r>
          </w:p>
        </w:tc>
      </w:tr>
      <w:tr w:rsidR="00327A13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3F01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0.05975×0.17925 mm</w:t>
            </w:r>
          </w:p>
        </w:tc>
      </w:tr>
      <w:tr w:rsidR="00327A13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F0EE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0EE0">
              <w:rPr>
                <w:rFonts w:ascii="微软雅黑" w:eastAsia="微软雅黑" w:hAnsi="微软雅黑"/>
              </w:rPr>
              <w:t>0.17925×0.17925 mm</w:t>
            </w:r>
          </w:p>
        </w:tc>
      </w:tr>
      <w:tr w:rsidR="00327A13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6612C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612C0">
              <w:rPr>
                <w:rFonts w:ascii="微软雅黑" w:eastAsia="微软雅黑" w:hAnsi="微软雅黑"/>
              </w:rPr>
              <w:t>0.94/1.04Kgs (Typ./Max.)</w:t>
            </w:r>
          </w:p>
        </w:tc>
      </w:tr>
      <w:tr w:rsidR="00327A13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344.232×193.536 mm</w:t>
            </w:r>
          </w:p>
        </w:tc>
      </w:tr>
      <w:tr w:rsidR="00327A13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51085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51085">
              <w:rPr>
                <w:rFonts w:ascii="微软雅黑" w:eastAsia="微软雅黑" w:hAnsi="微软雅黑"/>
              </w:rPr>
              <w:t>347.06×196.49 mm</w:t>
            </w:r>
          </w:p>
        </w:tc>
      </w:tr>
      <w:tr w:rsidR="00327A13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5108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51085">
              <w:rPr>
                <w:rFonts w:ascii="微软雅黑" w:eastAsia="微软雅黑" w:hAnsi="微软雅黑"/>
              </w:rPr>
              <w:t>363.8×215.9 mm</w:t>
            </w:r>
          </w:p>
        </w:tc>
      </w:tr>
      <w:tr w:rsidR="005B1CF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2710D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710D5">
              <w:rPr>
                <w:rFonts w:ascii="微软雅黑" w:eastAsia="微软雅黑" w:hAnsi="微软雅黑"/>
              </w:rPr>
              <w:t>9.3±0.5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5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TN</w:t>
            </w:r>
            <w:r w:rsidRPr="00FD3F0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C279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FD3F01" w:rsidRPr="00FD3F01">
              <w:rPr>
                <w:rFonts w:ascii="微软雅黑" w:eastAsia="微软雅黑" w:hAnsi="微软雅黑"/>
              </w:rPr>
              <w:t>00 (Typ.)</w:t>
            </w:r>
          </w:p>
        </w:tc>
      </w:tr>
      <w:tr w:rsidR="006B7CFF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7C279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FD3F01" w:rsidRPr="00FD3F01">
              <w:rPr>
                <w:rFonts w:ascii="微软雅黑" w:eastAsia="微软雅黑" w:hAnsi="微软雅黑"/>
              </w:rPr>
              <w:t>00:1 (Typ.) (</w:t>
            </w:r>
            <w:r w:rsidR="00FD3F01" w:rsidRPr="00FD3F01">
              <w:rPr>
                <w:rFonts w:ascii="微软雅黑" w:eastAsia="微软雅黑" w:hAnsi="微软雅黑" w:hint="eastAsia"/>
              </w:rPr>
              <w:t>透射</w:t>
            </w:r>
            <w:r w:rsidR="00FD3F01" w:rsidRPr="00FD3F0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7C279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C279D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7C279D" w:rsidP="00237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72</w:t>
            </w:r>
            <w:r w:rsidR="00FD3F01" w:rsidRPr="00FD3F01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5741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7414">
              <w:rPr>
                <w:rFonts w:ascii="微软雅黑" w:eastAsia="微软雅黑" w:hAnsi="微软雅黑"/>
              </w:rPr>
              <w:t>25 (Typ.)(Tr+Td) (ms)</w:t>
            </w:r>
          </w:p>
        </w:tc>
      </w:tr>
      <w:tr w:rsidR="006B7CFF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340E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40E2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50B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0B36">
              <w:rPr>
                <w:rFonts w:ascii="微软雅黑" w:eastAsia="微软雅黑" w:hAnsi="微软雅黑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5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3259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FD3F01" w:rsidRPr="00FD3F01">
              <w:rPr>
                <w:rFonts w:ascii="微软雅黑" w:eastAsia="微软雅黑" w:hAnsi="微软雅黑"/>
              </w:rPr>
              <w:t>K(Typ.) (Hours)</w:t>
            </w:r>
          </w:p>
        </w:tc>
      </w:tr>
      <w:tr w:rsidR="005B1CF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A7450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450C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723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723C4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7450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  <w:tr w:rsidR="008B1B8E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1347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347C">
              <w:rPr>
                <w:rFonts w:ascii="微软雅黑" w:eastAsia="微软雅黑" w:hAnsi="微软雅黑"/>
              </w:rPr>
              <w:t>10.8W (Max.)</w:t>
            </w:r>
          </w:p>
        </w:tc>
      </w:tr>
      <w:tr w:rsidR="005B1CF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440A2" w:rsidP="00AC5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5B1CF8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B440A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6612C0">
        <w:rPr>
          <w:rFonts w:ascii="微软雅黑" w:eastAsia="微软雅黑" w:hAnsi="微软雅黑" w:hint="eastAsia"/>
          <w:b/>
          <w:sz w:val="24"/>
          <w:szCs w:val="24"/>
        </w:rPr>
        <w:t>G156HAN01.0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5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eDP (2 Lanes)</w:t>
            </w:r>
          </w:p>
        </w:tc>
      </w:tr>
      <w:tr w:rsidR="00792AB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47AEC" w:rsidP="00D70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606mA (Max.)</w:t>
            </w:r>
          </w:p>
        </w:tc>
      </w:tr>
      <w:tr w:rsidR="00792AB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47A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47AEC">
              <w:rPr>
                <w:rFonts w:ascii="微软雅黑" w:eastAsia="微软雅黑" w:hAnsi="微软雅黑"/>
              </w:rPr>
              <w:t>1.0W (Max.)</w:t>
            </w:r>
          </w:p>
        </w:tc>
      </w:tr>
      <w:tr w:rsidR="00792AB8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C78D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C78DC">
              <w:rPr>
                <w:rFonts w:ascii="微软雅黑" w:eastAsia="微软雅黑" w:hAnsi="微软雅黑"/>
              </w:rPr>
              <w:t>20455-030E-12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Pr="003C78DC">
              <w:rPr>
                <w:rFonts w:ascii="微软雅黑" w:eastAsia="微软雅黑" w:hAnsi="微软雅黑"/>
              </w:rPr>
              <w:t>I-PEX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5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3C78DC" w:rsidP="004F7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FD3F01"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453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509E7" w:rsidRDefault="00D509E7" w:rsidP="00D509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D509E7" w:rsidRDefault="006B7CFF" w:rsidP="00CA55D2"/>
    <w:sectPr w:rsidR="006B7CFF" w:rsidRPr="00D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D0" w:rsidRDefault="004457D0" w:rsidP="00390E4A">
      <w:r>
        <w:separator/>
      </w:r>
    </w:p>
  </w:endnote>
  <w:endnote w:type="continuationSeparator" w:id="0">
    <w:p w:rsidR="004457D0" w:rsidRDefault="004457D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D0" w:rsidRDefault="004457D0" w:rsidP="00390E4A">
      <w:r>
        <w:separator/>
      </w:r>
    </w:p>
  </w:footnote>
  <w:footnote w:type="continuationSeparator" w:id="0">
    <w:p w:rsidR="004457D0" w:rsidRDefault="004457D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1A57C2"/>
    <w:rsid w:val="00214515"/>
    <w:rsid w:val="00223F4C"/>
    <w:rsid w:val="00225143"/>
    <w:rsid w:val="00226B05"/>
    <w:rsid w:val="00237BAD"/>
    <w:rsid w:val="002710D5"/>
    <w:rsid w:val="00287094"/>
    <w:rsid w:val="00300418"/>
    <w:rsid w:val="00327A13"/>
    <w:rsid w:val="003326D9"/>
    <w:rsid w:val="003340E2"/>
    <w:rsid w:val="00390E4A"/>
    <w:rsid w:val="003A06DA"/>
    <w:rsid w:val="003A7565"/>
    <w:rsid w:val="003C78DC"/>
    <w:rsid w:val="0044381B"/>
    <w:rsid w:val="004457D0"/>
    <w:rsid w:val="00453B9F"/>
    <w:rsid w:val="00486B31"/>
    <w:rsid w:val="00497068"/>
    <w:rsid w:val="004C0B09"/>
    <w:rsid w:val="004F7977"/>
    <w:rsid w:val="00506EC4"/>
    <w:rsid w:val="0053774D"/>
    <w:rsid w:val="00562BF1"/>
    <w:rsid w:val="0057042F"/>
    <w:rsid w:val="005831D8"/>
    <w:rsid w:val="005A3D6B"/>
    <w:rsid w:val="005B1CF8"/>
    <w:rsid w:val="005F56B2"/>
    <w:rsid w:val="006612C0"/>
    <w:rsid w:val="00662830"/>
    <w:rsid w:val="006B7CFF"/>
    <w:rsid w:val="006E2FDE"/>
    <w:rsid w:val="00762F5A"/>
    <w:rsid w:val="00763DE9"/>
    <w:rsid w:val="00774A22"/>
    <w:rsid w:val="00784A2B"/>
    <w:rsid w:val="00792AB8"/>
    <w:rsid w:val="007C279D"/>
    <w:rsid w:val="008122D5"/>
    <w:rsid w:val="008320A4"/>
    <w:rsid w:val="00834610"/>
    <w:rsid w:val="0084345F"/>
    <w:rsid w:val="00845163"/>
    <w:rsid w:val="00850B36"/>
    <w:rsid w:val="00853CC0"/>
    <w:rsid w:val="008723C4"/>
    <w:rsid w:val="00892AB3"/>
    <w:rsid w:val="008B1B8E"/>
    <w:rsid w:val="008D702A"/>
    <w:rsid w:val="008D7132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6256D"/>
    <w:rsid w:val="00A7247C"/>
    <w:rsid w:val="00A7450C"/>
    <w:rsid w:val="00A75E94"/>
    <w:rsid w:val="00A81DE5"/>
    <w:rsid w:val="00A81EB3"/>
    <w:rsid w:val="00AB43CB"/>
    <w:rsid w:val="00AB4F9B"/>
    <w:rsid w:val="00AC5798"/>
    <w:rsid w:val="00AD3D91"/>
    <w:rsid w:val="00AF0EE0"/>
    <w:rsid w:val="00AF3DBE"/>
    <w:rsid w:val="00B234A1"/>
    <w:rsid w:val="00B440A2"/>
    <w:rsid w:val="00B47AEC"/>
    <w:rsid w:val="00B51085"/>
    <w:rsid w:val="00B57250"/>
    <w:rsid w:val="00B73953"/>
    <w:rsid w:val="00B760B1"/>
    <w:rsid w:val="00B874B0"/>
    <w:rsid w:val="00BC6CAA"/>
    <w:rsid w:val="00BF1C3D"/>
    <w:rsid w:val="00C34F4F"/>
    <w:rsid w:val="00C90541"/>
    <w:rsid w:val="00CA55D2"/>
    <w:rsid w:val="00D20666"/>
    <w:rsid w:val="00D509E7"/>
    <w:rsid w:val="00D51132"/>
    <w:rsid w:val="00D5484D"/>
    <w:rsid w:val="00D57414"/>
    <w:rsid w:val="00D624CA"/>
    <w:rsid w:val="00D708C9"/>
    <w:rsid w:val="00D7458B"/>
    <w:rsid w:val="00DA39EE"/>
    <w:rsid w:val="00E32591"/>
    <w:rsid w:val="00E90EBB"/>
    <w:rsid w:val="00E976E6"/>
    <w:rsid w:val="00EE448F"/>
    <w:rsid w:val="00EE737B"/>
    <w:rsid w:val="00EF49FD"/>
    <w:rsid w:val="00EF7835"/>
    <w:rsid w:val="00F02B4A"/>
    <w:rsid w:val="00F1347C"/>
    <w:rsid w:val="00F43AE0"/>
    <w:rsid w:val="00F525F7"/>
    <w:rsid w:val="00F9064B"/>
    <w:rsid w:val="00FA4B6A"/>
    <w:rsid w:val="00FB7B95"/>
    <w:rsid w:val="00FD3F01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0FB2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53B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145</Words>
  <Characters>829</Characters>
  <Application>Microsoft Office Word</Application>
  <DocSecurity>0</DocSecurity>
  <Lines>6</Lines>
  <Paragraphs>1</Paragraphs>
  <ScaleCrop>false</ScaleCrop>
  <Company>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79</cp:revision>
  <dcterms:created xsi:type="dcterms:W3CDTF">2019-02-14T05:22:00Z</dcterms:created>
  <dcterms:modified xsi:type="dcterms:W3CDTF">2022-10-09T07:10:00Z</dcterms:modified>
</cp:coreProperties>
</file>